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37" w:rsidRPr="005C0037" w:rsidRDefault="005C0037" w:rsidP="005C0037">
      <w:pPr>
        <w:tabs>
          <w:tab w:val="left" w:pos="540"/>
          <w:tab w:val="center" w:pos="3921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eastAsia="sk-SK"/>
        </w:rPr>
      </w:pPr>
      <w:r w:rsidRPr="005C0037">
        <w:rPr>
          <w:rFonts w:ascii="Times New Roman" w:hAnsi="Times New Roman" w:cs="Times New Roman"/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0" locked="0" layoutInCell="1" allowOverlap="1" wp14:anchorId="5BDFD7A9" wp14:editId="35616861">
            <wp:simplePos x="0" y="0"/>
            <wp:positionH relativeFrom="margin">
              <wp:align>left</wp:align>
            </wp:positionH>
            <wp:positionV relativeFrom="paragraph">
              <wp:posOffset>-84455</wp:posOffset>
            </wp:positionV>
            <wp:extent cx="866140" cy="885825"/>
            <wp:effectExtent l="0" t="0" r="0" b="9525"/>
            <wp:wrapNone/>
            <wp:docPr id="1" name="Obrázok 1" descr="C:\Users\pte25792\Documents\Obec Lupoč\erb Lupo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e25792\Documents\Obec Lupoč\erb Lupoč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0037">
        <w:rPr>
          <w:rFonts w:ascii="Calibri" w:eastAsia="Times New Roman" w:hAnsi="Calibri" w:cs="Times New Roman"/>
          <w:noProof/>
          <w:lang w:eastAsia="sk-SK"/>
        </w:rPr>
        <w:ptab w:relativeTo="margin" w:alignment="left" w:leader="none"/>
      </w:r>
      <w:r w:rsidRPr="005C0037">
        <w:rPr>
          <w:rFonts w:ascii="Calibri" w:eastAsia="Times New Roman" w:hAnsi="Calibri" w:cs="Times New Roman"/>
          <w:noProof/>
          <w:lang w:eastAsia="sk-SK"/>
        </w:rPr>
        <w:t xml:space="preserve">                    </w:t>
      </w:r>
      <w:r w:rsidRPr="005C0037">
        <w:rPr>
          <w:rFonts w:ascii="Calibri" w:eastAsia="Times New Roman" w:hAnsi="Calibri" w:cs="Times New Roman"/>
          <w:noProof/>
          <w:lang w:eastAsia="sk-SK"/>
        </w:rPr>
        <w:tab/>
        <w:t xml:space="preserve">                      </w:t>
      </w:r>
      <w:r w:rsidRPr="005C0037">
        <w:rPr>
          <w:rFonts w:ascii="Times New Roman" w:eastAsia="Times New Roman" w:hAnsi="Times New Roman" w:cs="Times New Roman"/>
          <w:b/>
          <w:noProof/>
          <w:sz w:val="48"/>
          <w:szCs w:val="48"/>
          <w:lang w:eastAsia="sk-SK"/>
        </w:rPr>
        <w:t>O</w:t>
      </w:r>
      <w:r w:rsidRPr="005C0037">
        <w:rPr>
          <w:rFonts w:ascii="Times New Roman" w:hAnsi="Times New Roman" w:cs="Times New Roman"/>
          <w:b/>
          <w:sz w:val="48"/>
          <w:szCs w:val="48"/>
          <w:lang w:eastAsia="sk-SK"/>
        </w:rPr>
        <w:t>BEC LUPOČ</w:t>
      </w:r>
    </w:p>
    <w:p w:rsidR="005C0037" w:rsidRPr="005C0037" w:rsidRDefault="005C0037" w:rsidP="005C0037">
      <w:pPr>
        <w:pBdr>
          <w:bottom w:val="single" w:sz="12" w:space="21" w:color="auto"/>
        </w:pBdr>
        <w:tabs>
          <w:tab w:val="left" w:pos="540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5C0037">
        <w:rPr>
          <w:rFonts w:ascii="Times New Roman" w:hAnsi="Times New Roman" w:cs="Times New Roman"/>
          <w:b/>
          <w:sz w:val="32"/>
          <w:szCs w:val="32"/>
          <w:lang w:eastAsia="sk-SK"/>
        </w:rPr>
        <w:t>Lupoč č. 102, 985 11  Halič</w:t>
      </w:r>
    </w:p>
    <w:p w:rsidR="00114E00" w:rsidRPr="005B6418" w:rsidRDefault="00114E00" w:rsidP="00622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B641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Obec </w:t>
      </w:r>
      <w:r w:rsidR="00160DCA">
        <w:rPr>
          <w:rFonts w:ascii="Times New Roman" w:eastAsia="Times New Roman" w:hAnsi="Times New Roman"/>
          <w:b/>
          <w:sz w:val="24"/>
          <w:szCs w:val="24"/>
          <w:lang w:eastAsia="sk-SK"/>
        </w:rPr>
        <w:t>Lupoč</w:t>
      </w:r>
      <w:r w:rsidRPr="005B641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622B77" w:rsidRPr="005B6418">
        <w:rPr>
          <w:rFonts w:ascii="Times New Roman" w:eastAsia="Times New Roman" w:hAnsi="Times New Roman"/>
          <w:b/>
          <w:sz w:val="24"/>
          <w:szCs w:val="24"/>
          <w:lang w:eastAsia="sk-SK"/>
        </w:rPr>
        <w:t>v súlade s § 10 ods. 8 zákona č. 54/2019</w:t>
      </w:r>
      <w:r w:rsidRPr="005B641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Z. z. </w:t>
      </w:r>
      <w:r w:rsidR="00622B77" w:rsidRPr="005B6418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o ochrane oznamovateľov protispoločenskej činnosti a o zmene a doplnení niektorých zákonov</w:t>
      </w:r>
      <w:r w:rsidR="00622B77" w:rsidRPr="005B641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, </w:t>
      </w:r>
      <w:r w:rsidRPr="005B6418">
        <w:rPr>
          <w:rFonts w:ascii="Times New Roman" w:eastAsia="Times New Roman" w:hAnsi="Times New Roman"/>
          <w:b/>
          <w:sz w:val="24"/>
          <w:szCs w:val="24"/>
          <w:lang w:eastAsia="sk-SK"/>
        </w:rPr>
        <w:t>vydáva</w:t>
      </w:r>
    </w:p>
    <w:p w:rsidR="00495159" w:rsidRPr="00C15323" w:rsidRDefault="00622B77" w:rsidP="00C15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vnútorný predpis, </w:t>
      </w:r>
      <w:r w:rsidR="00114E00" w:rsidRPr="00C15323">
        <w:rPr>
          <w:rFonts w:ascii="Times New Roman" w:eastAsia="Times New Roman" w:hAnsi="Times New Roman"/>
          <w:sz w:val="28"/>
          <w:szCs w:val="28"/>
          <w:lang w:eastAsia="sk-SK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ktorým sa určujú podrobnosti </w:t>
      </w:r>
      <w:r w:rsidR="00114E00" w:rsidRPr="00C15323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podávania, pr</w:t>
      </w: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everovania a evidovania oznámení</w:t>
      </w:r>
      <w:r w:rsidR="00114E00" w:rsidRPr="00C15323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p</w:t>
      </w: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odávaných v zmysle zákona č. 54/2019</w:t>
      </w:r>
      <w:r w:rsidR="00114E00" w:rsidRPr="00C15323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Z. z. </w:t>
      </w:r>
    </w:p>
    <w:p w:rsidR="00114E00" w:rsidRPr="00C15323" w:rsidRDefault="00114E00" w:rsidP="00114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532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Článok 1</w:t>
      </w:r>
      <w:r w:rsidRPr="00C15323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C1532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Úvodné ustanovenia</w:t>
      </w:r>
    </w:p>
    <w:p w:rsidR="00495159" w:rsidRDefault="00401584" w:rsidP="00495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</w:t>
      </w:r>
      <w:r w:rsidR="00495159" w:rsidRPr="00401584">
        <w:rPr>
          <w:rFonts w:ascii="Times New Roman" w:eastAsia="Times New Roman" w:hAnsi="Times New Roman"/>
          <w:b/>
          <w:sz w:val="24"/>
          <w:szCs w:val="24"/>
          <w:lang w:eastAsia="sk-SK"/>
        </w:rPr>
        <w:t>(1)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T</w:t>
      </w:r>
      <w:r w:rsidR="00114E00" w:rsidRPr="00C15323">
        <w:rPr>
          <w:rFonts w:ascii="Times New Roman" w:eastAsia="Times New Roman" w:hAnsi="Times New Roman"/>
          <w:sz w:val="24"/>
          <w:szCs w:val="24"/>
          <w:lang w:eastAsia="sk-SK"/>
        </w:rPr>
        <w:t>ento vnútorný predpis</w:t>
      </w:r>
      <w:r w:rsidR="00964E61">
        <w:rPr>
          <w:rFonts w:ascii="Times New Roman" w:eastAsia="Times New Roman" w:hAnsi="Times New Roman"/>
          <w:sz w:val="24"/>
          <w:szCs w:val="24"/>
          <w:lang w:eastAsia="sk-SK"/>
        </w:rPr>
        <w:t xml:space="preserve"> – </w:t>
      </w:r>
      <w:r w:rsidR="00114E0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14E00" w:rsidRPr="00C15323">
        <w:rPr>
          <w:rFonts w:ascii="Times New Roman" w:eastAsia="Times New Roman" w:hAnsi="Times New Roman"/>
          <w:sz w:val="24"/>
          <w:szCs w:val="24"/>
          <w:lang w:eastAsia="sk-SK"/>
        </w:rPr>
        <w:t>upravuje postup pri podávaní, preverovaní</w:t>
      </w:r>
      <w:r w:rsidR="00495159">
        <w:rPr>
          <w:rFonts w:ascii="Times New Roman" w:eastAsia="Times New Roman" w:hAnsi="Times New Roman"/>
          <w:sz w:val="24"/>
          <w:szCs w:val="24"/>
          <w:lang w:eastAsia="sk-SK"/>
        </w:rPr>
        <w:t xml:space="preserve">, zachovávaní mlčanlivosti o totožnosti oznamovateľa, evidovaní oznámení, oboznamovaní oznamovateľa s výsledkom </w:t>
      </w:r>
      <w:r w:rsidR="00114E00" w:rsidRPr="00C15323">
        <w:rPr>
          <w:rFonts w:ascii="Times New Roman" w:eastAsia="Times New Roman" w:hAnsi="Times New Roman"/>
          <w:sz w:val="24"/>
          <w:szCs w:val="24"/>
          <w:lang w:eastAsia="sk-SK"/>
        </w:rPr>
        <w:t>preverenia</w:t>
      </w:r>
      <w:r w:rsidR="00495159">
        <w:rPr>
          <w:rFonts w:ascii="Times New Roman" w:eastAsia="Times New Roman" w:hAnsi="Times New Roman"/>
          <w:sz w:val="24"/>
          <w:szCs w:val="24"/>
          <w:lang w:eastAsia="sk-SK"/>
        </w:rPr>
        <w:t xml:space="preserve"> oznámenia</w:t>
      </w:r>
      <w:r w:rsidR="00114E00" w:rsidRPr="00C15323">
        <w:rPr>
          <w:rFonts w:ascii="Times New Roman" w:eastAsia="Times New Roman" w:hAnsi="Times New Roman"/>
          <w:sz w:val="24"/>
          <w:szCs w:val="24"/>
          <w:lang w:eastAsia="sk-SK"/>
        </w:rPr>
        <w:t>, ako aj podrobnosti o</w:t>
      </w:r>
      <w:r w:rsidR="00495159">
        <w:rPr>
          <w:rFonts w:ascii="Times New Roman" w:eastAsia="Times New Roman" w:hAnsi="Times New Roman"/>
          <w:sz w:val="24"/>
          <w:szCs w:val="24"/>
          <w:lang w:eastAsia="sk-SK"/>
        </w:rPr>
        <w:t xml:space="preserve"> oprávneniach zodpovednej osoby</w:t>
      </w:r>
      <w:r w:rsidR="00114E00" w:rsidRPr="00C15323">
        <w:rPr>
          <w:rFonts w:ascii="Times New Roman" w:eastAsia="Times New Roman" w:hAnsi="Times New Roman"/>
          <w:sz w:val="24"/>
          <w:szCs w:val="24"/>
          <w:lang w:eastAsia="sk-SK"/>
        </w:rPr>
        <w:t xml:space="preserve"> o spracúvaní osobných údajov a o zachovaní mlčanl</w:t>
      </w:r>
      <w:r w:rsidR="00964E61">
        <w:rPr>
          <w:rFonts w:ascii="Times New Roman" w:eastAsia="Times New Roman" w:hAnsi="Times New Roman"/>
          <w:sz w:val="24"/>
          <w:szCs w:val="24"/>
          <w:lang w:eastAsia="sk-SK"/>
        </w:rPr>
        <w:t>ivosti v rámci vybavovania oznámení</w:t>
      </w:r>
      <w:r w:rsidR="00114E00">
        <w:rPr>
          <w:rFonts w:ascii="Times New Roman" w:eastAsia="Times New Roman" w:hAnsi="Times New Roman"/>
          <w:sz w:val="24"/>
          <w:szCs w:val="24"/>
          <w:lang w:eastAsia="sk-SK"/>
        </w:rPr>
        <w:t xml:space="preserve"> doručených zamestnávateľovi – obci, obcou zriadených právnických osôb a obcou zriadených zariadení bez právnej subjektivity. </w:t>
      </w:r>
    </w:p>
    <w:p w:rsidR="00495159" w:rsidRDefault="00495159" w:rsidP="00495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14E00" w:rsidRPr="00C15323" w:rsidRDefault="00114E00" w:rsidP="00495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401584" w:rsidRPr="00401584">
        <w:rPr>
          <w:rFonts w:ascii="Times New Roman" w:eastAsia="Times New Roman" w:hAnsi="Times New Roman"/>
          <w:b/>
          <w:sz w:val="24"/>
          <w:szCs w:val="24"/>
          <w:lang w:eastAsia="sk-SK"/>
        </w:rPr>
        <w:t>(2)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401584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C15323">
        <w:rPr>
          <w:rFonts w:ascii="Times New Roman" w:eastAsia="Times New Roman" w:hAnsi="Times New Roman"/>
          <w:sz w:val="24"/>
          <w:szCs w:val="24"/>
          <w:lang w:eastAsia="sk-SK"/>
        </w:rPr>
        <w:t xml:space="preserve">ento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vnútorný </w:t>
      </w:r>
      <w:r w:rsidRPr="00C15323">
        <w:rPr>
          <w:rFonts w:ascii="Times New Roman" w:eastAsia="Times New Roman" w:hAnsi="Times New Roman"/>
          <w:sz w:val="24"/>
          <w:szCs w:val="24"/>
          <w:lang w:eastAsia="sk-SK"/>
        </w:rPr>
        <w:t xml:space="preserve">predpis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-</w:t>
      </w:r>
      <w:r w:rsidR="0049515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upravujúci podávanie, preverovanie a evidovanie oznámení</w:t>
      </w:r>
      <w:r w:rsidRPr="005958F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p</w:t>
      </w:r>
      <w:r w:rsidR="00495159">
        <w:rPr>
          <w:rFonts w:ascii="Times New Roman" w:eastAsia="Times New Roman" w:hAnsi="Times New Roman"/>
          <w:b/>
          <w:sz w:val="24"/>
          <w:szCs w:val="24"/>
          <w:lang w:eastAsia="sk-SK"/>
        </w:rPr>
        <w:t>odávaných v zmysle zákona č. 54/2019</w:t>
      </w:r>
      <w:r w:rsidRPr="005958F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Pr="005958FB">
        <w:rPr>
          <w:rFonts w:ascii="Times New Roman" w:eastAsia="Times New Roman" w:hAnsi="Times New Roman"/>
          <w:b/>
          <w:sz w:val="24"/>
          <w:szCs w:val="24"/>
          <w:lang w:eastAsia="sk-SK"/>
        </w:rPr>
        <w:t>Z.z</w:t>
      </w:r>
      <w:proofErr w:type="spellEnd"/>
      <w:r w:rsidRPr="005958FB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95159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o ochrane </w:t>
      </w:r>
      <w:r w:rsidR="00495159"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oznamovateľov protispoločenskej činnosti a o zmene a doplnení niektorých zákonov</w:t>
      </w:r>
      <w:r w:rsidR="00495159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,</w:t>
      </w:r>
      <w:r w:rsidR="00495159" w:rsidRPr="00C1532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01584">
        <w:rPr>
          <w:rFonts w:ascii="Times New Roman" w:eastAsia="Times New Roman" w:hAnsi="Times New Roman"/>
          <w:b/>
          <w:sz w:val="24"/>
          <w:szCs w:val="24"/>
          <w:lang w:eastAsia="sk-SK"/>
        </w:rPr>
        <w:t>je záväzný</w:t>
      </w:r>
      <w:r w:rsidRPr="00C15323">
        <w:rPr>
          <w:rFonts w:ascii="Times New Roman" w:eastAsia="Times New Roman" w:hAnsi="Times New Roman"/>
          <w:sz w:val="24"/>
          <w:szCs w:val="24"/>
          <w:lang w:eastAsia="sk-SK"/>
        </w:rPr>
        <w:t xml:space="preserve"> pre všetkýc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 zamestnancov zamestnávateľa, </w:t>
      </w:r>
      <w:r w:rsidRPr="00C15323">
        <w:rPr>
          <w:rFonts w:ascii="Times New Roman" w:eastAsia="Times New Roman" w:hAnsi="Times New Roman"/>
          <w:sz w:val="24"/>
          <w:szCs w:val="24"/>
          <w:lang w:eastAsia="sk-SK"/>
        </w:rPr>
        <w:t>jeho štatutárneho zástupcu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– starostu obce /primátora</w:t>
      </w:r>
      <w:r w:rsidRPr="00C15323">
        <w:rPr>
          <w:rFonts w:ascii="Times New Roman" w:eastAsia="Times New Roman" w:hAnsi="Times New Roman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r w:rsidRPr="00C15323">
        <w:rPr>
          <w:rFonts w:ascii="Times New Roman" w:eastAsia="Times New Roman" w:hAnsi="Times New Roman"/>
          <w:sz w:val="24"/>
          <w:szCs w:val="24"/>
          <w:lang w:eastAsia="sk-SK"/>
        </w:rPr>
        <w:t>štatutárnych zástupcov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právnických osôb zriadených obcou</w:t>
      </w:r>
      <w:r w:rsidR="00964E61">
        <w:rPr>
          <w:rFonts w:ascii="Times New Roman" w:eastAsia="Times New Roman" w:hAnsi="Times New Roman"/>
          <w:sz w:val="24"/>
          <w:szCs w:val="24"/>
          <w:lang w:eastAsia="sk-SK"/>
        </w:rPr>
        <w:t xml:space="preserve"> a obcou zriadených zariadení bez právnej subjektivity.</w:t>
      </w:r>
      <w:r w:rsidRPr="00C15323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114E00" w:rsidRDefault="00114E00" w:rsidP="00114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Článok 2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5958F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Základné pojmy</w:t>
      </w:r>
    </w:p>
    <w:p w:rsidR="00401584" w:rsidRDefault="00401584" w:rsidP="00D444EB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   </w:t>
      </w:r>
      <w:r w:rsidRPr="00D2032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 xml:space="preserve">(1)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Obec </w:t>
      </w:r>
      <w:r w:rsidR="00160DCA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Lupoč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, so sídlom </w:t>
      </w:r>
      <w:r w:rsidR="00160DCA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Lupoč č. 102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, IČO: </w:t>
      </w:r>
      <w:r w:rsidR="00160DCA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00316199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je orgánom</w:t>
      </w: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verejnej moci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, ktorý je príslušný na prijatie oznámenia.</w:t>
      </w:r>
    </w:p>
    <w:p w:rsidR="00401584" w:rsidRPr="00114E00" w:rsidRDefault="00964E61" w:rsidP="00964E61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   </w:t>
      </w:r>
      <w:r w:rsidRPr="00D2032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 xml:space="preserve">(2) </w:t>
      </w:r>
      <w:r w:rsidR="00401584"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Oznámením sa rozumie uvedenie skutočností, o ktorých sa fyzická osoba dozvedela v súvislosti s výkonom svojho zamestnania, povolania, postavenia alebo funkcie, alebo v súvislosti s činnosťou vo verejnom záujme a ktoré sa týkajú protispoločenskej činnosti.</w:t>
      </w:r>
    </w:p>
    <w:p w:rsidR="00401584" w:rsidRDefault="00964E61" w:rsidP="00401584">
      <w:pPr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   </w:t>
      </w:r>
      <w:r w:rsidRPr="00D2032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(</w:t>
      </w:r>
      <w:r w:rsidR="00401584" w:rsidRPr="00D2032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3</w:t>
      </w:r>
      <w:r w:rsidRPr="00D2032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)</w:t>
      </w:r>
      <w:r w:rsidR="00401584"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Závažnou protispoločenskou činnosťou je:</w:t>
      </w:r>
    </w:p>
    <w:p w:rsidR="00964E61" w:rsidRPr="005958FB" w:rsidRDefault="00964E61" w:rsidP="00964E61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trestné činy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poškodzovania finančných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záujmov Európskej únie 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</w:t>
      </w:r>
      <w:hyperlink r:id="rId8" w:tgtFrame="_blank" w:history="1">
        <w:r w:rsidRPr="005958FB">
          <w:rPr>
            <w:rFonts w:ascii="Times New Roman" w:eastAsia="Times New Roman" w:hAnsi="Times New Roman"/>
            <w:sz w:val="24"/>
            <w:szCs w:val="24"/>
            <w:lang w:eastAsia="sk-SK"/>
          </w:rPr>
          <w:t>§ 261 až § 263 Trestného zákona</w:t>
        </w:r>
      </w:hyperlink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964E61" w:rsidRPr="005958FB" w:rsidRDefault="00964E61" w:rsidP="00964E61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trestný čin machinácií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pri verejnom obstarávaní a verejnej dražbe podľa </w:t>
      </w:r>
      <w:hyperlink r:id="rId9" w:tgtFrame="_blank" w:history="1">
        <w:r w:rsidRPr="005958FB">
          <w:rPr>
            <w:rFonts w:ascii="Times New Roman" w:eastAsia="Times New Roman" w:hAnsi="Times New Roman"/>
            <w:sz w:val="24"/>
            <w:szCs w:val="24"/>
            <w:lang w:eastAsia="sk-SK"/>
          </w:rPr>
          <w:t>§ 266</w:t>
        </w:r>
        <w:r>
          <w:rPr>
            <w:rFonts w:ascii="Times New Roman" w:eastAsia="Times New Roman" w:hAnsi="Times New Roman"/>
            <w:sz w:val="24"/>
            <w:szCs w:val="24"/>
            <w:lang w:eastAsia="sk-SK"/>
          </w:rPr>
          <w:t xml:space="preserve"> až </w:t>
        </w:r>
        <w:r w:rsidR="00B2096F">
          <w:rPr>
            <w:rFonts w:ascii="Times New Roman" w:eastAsia="Times New Roman" w:hAnsi="Times New Roman"/>
            <w:sz w:val="24"/>
            <w:szCs w:val="24"/>
            <w:lang w:eastAsia="sk-SK"/>
          </w:rPr>
          <w:t xml:space="preserve">§ </w:t>
        </w:r>
        <w:r>
          <w:rPr>
            <w:rFonts w:ascii="Times New Roman" w:eastAsia="Times New Roman" w:hAnsi="Times New Roman"/>
            <w:sz w:val="24"/>
            <w:szCs w:val="24"/>
            <w:lang w:eastAsia="sk-SK"/>
          </w:rPr>
          <w:t>268</w:t>
        </w:r>
        <w:r w:rsidRPr="005958FB">
          <w:rPr>
            <w:rFonts w:ascii="Times New Roman" w:eastAsia="Times New Roman" w:hAnsi="Times New Roman"/>
            <w:sz w:val="24"/>
            <w:szCs w:val="24"/>
            <w:lang w:eastAsia="sk-SK"/>
          </w:rPr>
          <w:t xml:space="preserve"> Trestného zákona</w:t>
        </w:r>
      </w:hyperlink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964E61" w:rsidRPr="005958FB" w:rsidRDefault="00B2096F" w:rsidP="00964E61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trestné činy </w:t>
      </w:r>
      <w:r w:rsidR="00964E61"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zneužívania právomoci verejného činiteľa alebo marenie úlohy verejným činiteľom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326 až § 327 Trestného zákona</w:t>
      </w:r>
      <w:r w:rsidR="00964E61" w:rsidRPr="005958FB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964E61" w:rsidRPr="005958FB" w:rsidRDefault="00B2096F" w:rsidP="00964E61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trestné činy</w:t>
      </w:r>
      <w:r w:rsidR="00964E61"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korupcie podľa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§ 328 až § 336b </w:t>
      </w:r>
      <w:r w:rsidR="00964E61" w:rsidRPr="005958FB">
        <w:rPr>
          <w:rFonts w:ascii="Times New Roman" w:eastAsia="Times New Roman" w:hAnsi="Times New Roman"/>
          <w:sz w:val="24"/>
          <w:szCs w:val="24"/>
          <w:lang w:eastAsia="sk-SK"/>
        </w:rPr>
        <w:t>Trestného zákona (prijímanie úplatku, podplácanie, nepriama korupcia, volebná korupcia),</w:t>
      </w:r>
    </w:p>
    <w:p w:rsidR="00964E61" w:rsidRPr="005958FB" w:rsidRDefault="00964E61" w:rsidP="00964E61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trestný čin, za ktorý Trestný zákon ustanovuje trest odňatia slobody s hornou hranicou trestnej sadzby prevyšujúcou tri roky alebo</w:t>
      </w:r>
    </w:p>
    <w:p w:rsidR="00964E61" w:rsidRPr="005958FB" w:rsidRDefault="00964E61" w:rsidP="00964E61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správny delikt, za ktorý možno uložiť pokutu s hor</w:t>
      </w:r>
      <w:r w:rsidR="00B2096F">
        <w:rPr>
          <w:rFonts w:ascii="Times New Roman" w:eastAsia="Times New Roman" w:hAnsi="Times New Roman"/>
          <w:sz w:val="24"/>
          <w:szCs w:val="24"/>
          <w:lang w:eastAsia="sk-SK"/>
        </w:rPr>
        <w:t>nou hranicou vo výške najmenej 3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0 000 eur</w:t>
      </w:r>
      <w:r w:rsidR="00B2096F"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r w:rsidR="00B2096F"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správny delikt, za ktorý možno uložiť pokutu s hornou hranicou určenou výpočtom</w:t>
      </w:r>
      <w:r w:rsidR="00B2096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.</w:t>
      </w:r>
    </w:p>
    <w:p w:rsidR="00964E61" w:rsidRPr="00114E00" w:rsidRDefault="00B2096F" w:rsidP="00964E61">
      <w:pPr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      </w:t>
      </w:r>
      <w:r w:rsidRPr="00D2032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 xml:space="preserve">(4) </w:t>
      </w:r>
      <w:r w:rsidR="00964E61"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Inou protispoločenskou činnosťou je napr. kolízia záujmov, neetické konanie, uprednostňovanie osobného záujmu a pod.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, a </w:t>
      </w:r>
      <w:r w:rsidR="00964E61"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rôzne situácie, kedy má zamestnanec obavy, že určitá prax alebo konanie v spoločnosti má nepriaznivý vplyv na klientov, dodávateľov, zamestnancov alebo verejný záujem.</w:t>
      </w:r>
    </w:p>
    <w:p w:rsidR="00964E61" w:rsidRPr="00114E00" w:rsidRDefault="00B2096F" w:rsidP="00964E61">
      <w:pPr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      </w:t>
      </w:r>
      <w:r w:rsidRPr="00D2032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(</w:t>
      </w:r>
      <w:r w:rsidR="00964E61" w:rsidRPr="00D2032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5</w:t>
      </w:r>
      <w:r w:rsidRPr="00D2032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)</w:t>
      </w:r>
      <w:r w:rsidR="00964E61"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Oznamovateľom je fyzická osoba, ktorá v dobrej viere urobila oznámenie voči zamestnávateľovi.</w:t>
      </w:r>
    </w:p>
    <w:p w:rsidR="00964E61" w:rsidRPr="00114E00" w:rsidRDefault="00B2096F" w:rsidP="00401584">
      <w:pPr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       </w:t>
      </w:r>
      <w:r w:rsidRPr="00D2032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(6)</w:t>
      </w:r>
      <w:r w:rsidR="006C450D" w:rsidRPr="00D2032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 xml:space="preserve"> </w:t>
      </w:r>
      <w:r w:rsidR="006C450D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Zodpovednou osobou je </w:t>
      </w:r>
      <w:r w:rsidR="00160DCA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Mgr. Erika </w:t>
      </w:r>
      <w:proofErr w:type="spellStart"/>
      <w:r w:rsidR="00160DCA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Kajbová</w:t>
      </w:r>
      <w:proofErr w:type="spellEnd"/>
      <w:r w:rsidR="006C450D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hlavn</w:t>
      </w:r>
      <w:r w:rsidR="006433A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á</w:t>
      </w:r>
      <w:r w:rsidR="006C450D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kontrolór</w:t>
      </w:r>
      <w:r w:rsidR="006433A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ka</w:t>
      </w:r>
      <w:r w:rsidR="006C450D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obce.</w:t>
      </w:r>
    </w:p>
    <w:p w:rsidR="00401584" w:rsidRPr="00114E00" w:rsidRDefault="00401584" w:rsidP="00401584">
      <w:pPr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 </w:t>
      </w:r>
    </w:p>
    <w:p w:rsidR="00401584" w:rsidRDefault="00401584" w:rsidP="006C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  <w:r w:rsidRPr="00114E0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Článok 3</w:t>
      </w:r>
    </w:p>
    <w:p w:rsidR="00D20327" w:rsidRDefault="006C450D" w:rsidP="00D20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14E0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Podávanie oznámení</w:t>
      </w:r>
    </w:p>
    <w:p w:rsidR="006C450D" w:rsidRPr="00114E00" w:rsidRDefault="00227ACC" w:rsidP="00D2032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D2032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(1)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  <w:r w:rsidR="006C450D"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Oznámenie možno podať:</w:t>
      </w:r>
    </w:p>
    <w:p w:rsidR="006C450D" w:rsidRPr="00114E00" w:rsidRDefault="006C450D" w:rsidP="0022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a/ </w:t>
      </w: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písomne,</w:t>
      </w:r>
    </w:p>
    <w:p w:rsidR="006C450D" w:rsidRPr="00114E00" w:rsidRDefault="006C450D" w:rsidP="0022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b/ </w:t>
      </w: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ústne do zápisnice,</w:t>
      </w:r>
    </w:p>
    <w:p w:rsidR="006C450D" w:rsidRPr="00114E00" w:rsidRDefault="006C450D" w:rsidP="0022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c/ </w:t>
      </w: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elektronickou poštou </w:t>
      </w:r>
      <w:r w:rsidR="00227AC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– e-mail</w:t>
      </w:r>
      <w:r w:rsidR="006433A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: obeclupoc@gmail.com</w:t>
      </w:r>
    </w:p>
    <w:p w:rsidR="006C450D" w:rsidRPr="00114E00" w:rsidRDefault="006C450D" w:rsidP="0022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d/</w:t>
      </w: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telefonicky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za predpokladu vedenia evidencie</w:t>
      </w: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zvukových záznamov hovorov a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 ich  uchovávania </w:t>
      </w: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tri roky od zaznamenania na elektronickom neprepisovateľnom nosiči.</w:t>
      </w:r>
    </w:p>
    <w:p w:rsidR="006C450D" w:rsidRPr="00114E00" w:rsidRDefault="00227ACC" w:rsidP="00227ACC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D2032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(2)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  <w:r w:rsidR="006C450D"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Písomné oznámenie sa podáva zodpovednej osobe alebo do podateľne orgánu verejnej moci, ktorá je povinná doručené oznámenie bezodkladne odovzdať zodpovednej osobe.</w:t>
      </w:r>
    </w:p>
    <w:p w:rsidR="006C450D" w:rsidRPr="00114E00" w:rsidRDefault="00227ACC" w:rsidP="00227ACC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D2032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(3)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  <w:r w:rsidR="006C450D"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Podanie oznámenia ústnou formou do zápisn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ice </w:t>
      </w:r>
      <w:r w:rsidR="006C450D"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možno uskutočniť u zodpovednej osoby.</w:t>
      </w:r>
    </w:p>
    <w:p w:rsidR="006C450D" w:rsidRPr="005B6418" w:rsidRDefault="00227ACC" w:rsidP="00227ACC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C7C1C1"/>
          <w:lang w:eastAsia="sk-SK"/>
        </w:rPr>
      </w:pPr>
      <w:r w:rsidRPr="00D2032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(4)</w:t>
      </w:r>
      <w:r w:rsidR="006C450D"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Podanie oznámenia elektronickou formou je možné uskutočniť na adresu zodpovednej osoby: </w:t>
      </w:r>
      <w:r w:rsidR="006433A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erika.kajbova@gmail.com</w:t>
      </w:r>
      <w:r w:rsidR="005B6418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. </w:t>
      </w:r>
      <w:r w:rsidR="006C450D"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Oznámenia prijaté elektronickou poštou, ktoré prijala osoba odlišná od zodpovednej osoby, je táto osoba povinná bezodkladne postúpiť na vybavenie zodpovednej osobe.</w:t>
      </w:r>
    </w:p>
    <w:p w:rsidR="00114E00" w:rsidRPr="005B6418" w:rsidRDefault="00227ACC" w:rsidP="00AD1715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C7C1C1"/>
          <w:lang w:eastAsia="sk-SK"/>
        </w:rPr>
      </w:pPr>
      <w:r w:rsidRPr="00D20327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sk-SK"/>
        </w:rPr>
        <w:t>(</w:t>
      </w:r>
      <w:r w:rsidR="006C450D" w:rsidRPr="00D20327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sk-SK"/>
        </w:rPr>
        <w:t>5</w:t>
      </w:r>
      <w:r w:rsidRPr="00D20327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sk-SK"/>
        </w:rPr>
        <w:t>)</w:t>
      </w:r>
      <w:r w:rsidR="006C450D" w:rsidRPr="00227ACC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sk-SK"/>
        </w:rPr>
        <w:t xml:space="preserve"> Telefonické podanie oznámenia je možné uskutočniť na telefónnom čísle zodpovednej osoby: </w:t>
      </w:r>
      <w:r w:rsidR="005C0037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sk-SK"/>
        </w:rPr>
        <w:t xml:space="preserve">047/4392345. </w:t>
      </w:r>
      <w:r w:rsidR="005B6418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sk-SK"/>
        </w:rPr>
        <w:t xml:space="preserve"> </w:t>
      </w:r>
      <w:r w:rsidR="006C450D" w:rsidRPr="00227ACC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sk-SK"/>
        </w:rPr>
        <w:t xml:space="preserve">Hovory na </w:t>
      </w:r>
      <w:proofErr w:type="spellStart"/>
      <w:r w:rsidR="005B6418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sk-SK"/>
        </w:rPr>
        <w:t>tlf</w:t>
      </w:r>
      <w:proofErr w:type="spellEnd"/>
      <w:r w:rsidR="005B6418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sk-SK"/>
        </w:rPr>
        <w:t xml:space="preserve">. </w:t>
      </w:r>
      <w:r w:rsidR="006C450D" w:rsidRPr="00227ACC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sk-SK"/>
        </w:rPr>
        <w:t>l</w:t>
      </w:r>
      <w:r w:rsidR="005B6418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sk-SK"/>
        </w:rPr>
        <w:t xml:space="preserve">inku </w:t>
      </w:r>
      <w:r w:rsidR="006C450D" w:rsidRPr="00227ACC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sk-SK"/>
        </w:rPr>
        <w:t>sa zaznamenávajú, preto je zodpovedná osoba o tejto skutočnosti povinná oznamovateľa vopred informovať.</w:t>
      </w:r>
    </w:p>
    <w:p w:rsidR="00233FD2" w:rsidRPr="00844D55" w:rsidRDefault="00233FD2" w:rsidP="00233FD2">
      <w:pPr>
        <w:spacing w:before="144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20327" w:rsidRDefault="00114E00" w:rsidP="00D2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Článok 4</w:t>
      </w:r>
    </w:p>
    <w:p w:rsidR="00D20327" w:rsidRPr="005958FB" w:rsidRDefault="00885C4E" w:rsidP="00D203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Na preverovanie oznámenia</w:t>
      </w:r>
      <w:r w:rsidR="00114E00"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je príslušná zodpovedná osoba zamestnávateľa.</w:t>
      </w:r>
    </w:p>
    <w:p w:rsidR="00114E00" w:rsidRPr="005958FB" w:rsidRDefault="00114E00" w:rsidP="00D2032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Pri prešetrovaní </w:t>
      </w:r>
      <w:r w:rsidR="00885C4E">
        <w:rPr>
          <w:rFonts w:ascii="Times New Roman" w:eastAsia="Times New Roman" w:hAnsi="Times New Roman"/>
          <w:sz w:val="24"/>
          <w:szCs w:val="24"/>
          <w:lang w:eastAsia="sk-SK"/>
        </w:rPr>
        <w:t>oznámenia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sa vychádza z jeho obsahu, bez ohľadu na jeho označenie.</w:t>
      </w:r>
    </w:p>
    <w:p w:rsidR="00114E00" w:rsidRPr="005958FB" w:rsidRDefault="00885C4E" w:rsidP="00D2032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Ak z obsahu oznámenia vyplýva, že oznámením</w:t>
      </w:r>
      <w:r w:rsidR="00114E00"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je iba časť tohto podania, podľa tohto predpisu sa pre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šetrí len príslušná časť oznámenia. Zvyšné časti oznámenia</w:t>
      </w:r>
      <w:r w:rsidR="00114E00"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sa vybavia podľa režimu, pod ktorý spadajú (napr. sťažnosť podľa zákona č. 9/2010 Z. z. o sťažnostiach).</w:t>
      </w:r>
    </w:p>
    <w:p w:rsidR="00114E00" w:rsidRPr="005958FB" w:rsidRDefault="00885C4E" w:rsidP="00D2032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Pokiaľ z obsahu oznámenia vyplýva, že nejde o oznámenie</w:t>
      </w:r>
      <w:r w:rsidR="00114E00"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tohto vnútorného pr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edpisu, ale na vybavenie oznámenia</w:t>
      </w:r>
      <w:r w:rsidR="00114E00"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je príslušný iný orgán, zodpovedná osoba podanie bezodkladne postúpi tomuto orgánu. O tejto skutočnosti bezodkladne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písomne </w:t>
      </w:r>
      <w:r w:rsidR="00114E00"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informuje podávateľa podania. </w:t>
      </w:r>
    </w:p>
    <w:p w:rsidR="00114E00" w:rsidRPr="005958FB" w:rsidRDefault="00114E00" w:rsidP="00D2032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Zodpovedná osoba je povinná preveriť podnet najneskôr do 90 kalendárnych dní od jeho prijatia. </w:t>
      </w:r>
    </w:p>
    <w:p w:rsidR="00114E00" w:rsidRPr="005958FB" w:rsidRDefault="00114E00" w:rsidP="00D2032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 odôvodnených prípadoch môže zodpovedná osoba lehotu uvedenú v predchádzajúcom odseku predĺžiť, a to najviac o ďalších 30 dní. O tejto skutočnosti, ako aj o dôvodoch predĺženia lehoty je povinná bezodkladne informovať podávateľa podnetu, pokiaľ nejde o anonymný podnet.</w:t>
      </w:r>
    </w:p>
    <w:p w:rsidR="00114E00" w:rsidRPr="005958FB" w:rsidRDefault="00114E00" w:rsidP="00D2032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Celková lehota preverovania podnetu nesmie presiahnuť 120 dní od jeho prijatia.</w:t>
      </w:r>
    </w:p>
    <w:p w:rsidR="00114E00" w:rsidRPr="005958FB" w:rsidRDefault="00114E00" w:rsidP="00D2032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V prípade potreby doplnenia alebo upres</w:t>
      </w:r>
      <w:r w:rsidR="00885C4E">
        <w:rPr>
          <w:rFonts w:ascii="Times New Roman" w:eastAsia="Times New Roman" w:hAnsi="Times New Roman"/>
          <w:sz w:val="24"/>
          <w:szCs w:val="24"/>
          <w:lang w:eastAsia="sk-SK"/>
        </w:rPr>
        <w:t>nenia údajov uvedených v oznámení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zodpovedná osoba bez zbytočného </w:t>
      </w:r>
      <w:r w:rsidR="00885C4E">
        <w:rPr>
          <w:rFonts w:ascii="Times New Roman" w:eastAsia="Times New Roman" w:hAnsi="Times New Roman"/>
          <w:sz w:val="24"/>
          <w:szCs w:val="24"/>
          <w:lang w:eastAsia="sk-SK"/>
        </w:rPr>
        <w:t>odkladu vyzve podávateľa oznámenia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na jeho doplnenie alebo upresnenie s určením lehoty na uskutočnenie tohto úkonu.</w:t>
      </w:r>
    </w:p>
    <w:p w:rsidR="00114E00" w:rsidRPr="00885C4E" w:rsidRDefault="00885C4E" w:rsidP="00D2032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Pokiaľ oznámenie</w:t>
      </w:r>
      <w:r w:rsidR="00114E00"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smeruje voči konkrétnemu zamestnancovi alebo štatutárnemu zástupcovi zamestnávateľa (ďalej len „dotknutý zamestnanec a štatutárny zástupca“), zodpovedná osoba bez zbytočného odkladu oboznámi dotknutého zamestnanca alebo štatutá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rneho zástupcu s obsahom oznámenia</w:t>
      </w:r>
      <w:r w:rsidR="00114E00"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a umožní mu vyjadriť sa k nemu, ako aj predložiť doklady, písomnosti či iné informácie potrebné na spoľahlivé preverenie veci. Pr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i oboznamovaní s obsahom oznámenia</w:t>
      </w:r>
      <w:r w:rsidR="00114E00"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je zodpovedná osoba povinná dbať na zachovanie mlčanlivosti o totožnosti podávateľa podnetu a na ochranu osobných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údajov podľa zákona č. 18/2018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o ochrane osobných údajov.</w:t>
      </w:r>
      <w:r w:rsidR="00114E00"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V prípade, že z informácií, ktoré sú súčasťou alebo prílohou podnetu, možno vyvodiť totožnosť podávateľa podnetu, zodpovedná osoba s takýmito informáciami dotknutého zamestnanca ani štatutárneho zástupcu neoboznámi, ale vyzve ho len na uvedenie, resp. predloženie skutočností nevyhnutných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na spoľahlivé preverenie oznámenia</w:t>
      </w:r>
      <w:r w:rsidR="00114E00" w:rsidRPr="005958FB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114E0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14E00" w:rsidRPr="00885C4E">
        <w:rPr>
          <w:rFonts w:ascii="Times New Roman" w:eastAsia="Times New Roman" w:hAnsi="Times New Roman"/>
          <w:sz w:val="24"/>
          <w:szCs w:val="24"/>
          <w:lang w:eastAsia="sk-SK"/>
        </w:rPr>
        <w:t>Zodpovedná osoba je oprávnená v potrebnom rozsahu p</w:t>
      </w:r>
      <w:r w:rsidR="002B124F">
        <w:rPr>
          <w:rFonts w:ascii="Times New Roman" w:eastAsia="Times New Roman" w:hAnsi="Times New Roman"/>
          <w:sz w:val="24"/>
          <w:szCs w:val="24"/>
          <w:lang w:eastAsia="sk-SK"/>
        </w:rPr>
        <w:t>ísomne vyzvať podávateľa oznámenia</w:t>
      </w:r>
      <w:r w:rsidR="00114E00" w:rsidRPr="00885C4E">
        <w:rPr>
          <w:rFonts w:ascii="Times New Roman" w:eastAsia="Times New Roman" w:hAnsi="Times New Roman"/>
          <w:sz w:val="24"/>
          <w:szCs w:val="24"/>
          <w:lang w:eastAsia="sk-SK"/>
        </w:rPr>
        <w:t>, ako aj zamestnávateľa, dotknutého zamestnanca či štatutárneho zástupcu na spoluprácu pri preverovaní podnetu spolu s určením primeranej lehoty na poskytnutie súčinnosti.</w:t>
      </w:r>
    </w:p>
    <w:p w:rsidR="00114E00" w:rsidRPr="005958FB" w:rsidRDefault="002B124F" w:rsidP="00D2032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 výsledku preverenia oznámenia </w:t>
      </w:r>
      <w:r w:rsidR="00114E00" w:rsidRPr="005958FB">
        <w:rPr>
          <w:rFonts w:ascii="Times New Roman" w:eastAsia="Times New Roman" w:hAnsi="Times New Roman"/>
          <w:sz w:val="24"/>
          <w:szCs w:val="24"/>
          <w:lang w:eastAsia="sk-SK"/>
        </w:rPr>
        <w:t>spíše zodpovedná osoba písomný záznam, v ktorom zhrnie skutočnosti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ktoré uvádza podávateľ oznámenia</w:t>
      </w:r>
      <w:r w:rsidR="00114E00"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, a zároveň sa vyjadrí ku každej skutočnosti, a to z hľadiska preverenia pravdivosti tvrdených skutočností a z hľadiska posúdenia ich právnej relevancie vo vzťahu k možnému naplneniu prvku protiprávnosti. </w:t>
      </w:r>
    </w:p>
    <w:p w:rsidR="00114E00" w:rsidRPr="005958FB" w:rsidRDefault="00114E00" w:rsidP="00D2032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Pred vyhotovením zázna</w:t>
      </w:r>
      <w:r w:rsidR="002B124F">
        <w:rPr>
          <w:rFonts w:ascii="Times New Roman" w:eastAsia="Times New Roman" w:hAnsi="Times New Roman"/>
          <w:sz w:val="24"/>
          <w:szCs w:val="24"/>
          <w:lang w:eastAsia="sk-SK"/>
        </w:rPr>
        <w:t>mu o výsledku preverenia oznámenia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zodpovedná osoba u</w:t>
      </w:r>
      <w:r w:rsidR="002B124F">
        <w:rPr>
          <w:rFonts w:ascii="Times New Roman" w:eastAsia="Times New Roman" w:hAnsi="Times New Roman"/>
          <w:sz w:val="24"/>
          <w:szCs w:val="24"/>
          <w:lang w:eastAsia="sk-SK"/>
        </w:rPr>
        <w:t>možní podávateľovi oznámenia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vyjadriť sa k zisteným z</w:t>
      </w:r>
      <w:r w:rsidR="002B124F">
        <w:rPr>
          <w:rFonts w:ascii="Times New Roman" w:eastAsia="Times New Roman" w:hAnsi="Times New Roman"/>
          <w:sz w:val="24"/>
          <w:szCs w:val="24"/>
          <w:lang w:eastAsia="sk-SK"/>
        </w:rPr>
        <w:t>áverom. Pokiaľ podávateľ oznámenia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uvedie nové skutočnosti alebo so zistenými závermi nesúhlasí, zodpovedná osoba sa musí s týmito skutočnosťami a nesúhlasnými námietkami vysporiadať v písomnom zázname o výs</w:t>
      </w:r>
      <w:r w:rsidR="002B124F">
        <w:rPr>
          <w:rFonts w:ascii="Times New Roman" w:eastAsia="Times New Roman" w:hAnsi="Times New Roman"/>
          <w:sz w:val="24"/>
          <w:szCs w:val="24"/>
          <w:lang w:eastAsia="sk-SK"/>
        </w:rPr>
        <w:t>ledku preverenia oznámenia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s uvedeným, či sú tieto skutočnosti a námietky opodstatnené. </w:t>
      </w:r>
    </w:p>
    <w:p w:rsidR="00114E00" w:rsidRPr="005958FB" w:rsidRDefault="002B124F" w:rsidP="00D2032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Výsledok preverenia oznámenia</w:t>
      </w:r>
      <w:r w:rsidR="00114E00"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vo forme písomného záznamu je zodpovedná osoba pov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inná zaslať podávateľovi oznámenia</w:t>
      </w:r>
      <w:r w:rsidR="00114E00"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do 10 dní od jeho preverenia.</w:t>
      </w:r>
    </w:p>
    <w:p w:rsidR="00114E00" w:rsidRPr="005958FB" w:rsidRDefault="00114E00" w:rsidP="00D2032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Zodpovedná osoba a jej zamestnávateľ sú povinní zachovávať mlčanlivosť</w:t>
      </w:r>
      <w:r w:rsidR="002B124F">
        <w:rPr>
          <w:rFonts w:ascii="Times New Roman" w:eastAsia="Times New Roman" w:hAnsi="Times New Roman"/>
          <w:sz w:val="24"/>
          <w:szCs w:val="24"/>
          <w:lang w:eastAsia="sk-SK"/>
        </w:rPr>
        <w:t xml:space="preserve"> o totožnosti podávateľa oznámenia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114E00" w:rsidRPr="005958FB" w:rsidRDefault="002B124F" w:rsidP="00D2032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preverovania oznámenia</w:t>
      </w:r>
      <w:r w:rsidR="00114E00"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je zodpovedná osoba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vylúčená </w:t>
      </w:r>
      <w:r w:rsidR="00114E00" w:rsidRPr="005958FB">
        <w:rPr>
          <w:rFonts w:ascii="Times New Roman" w:eastAsia="Times New Roman" w:hAnsi="Times New Roman"/>
          <w:sz w:val="24"/>
          <w:szCs w:val="24"/>
          <w:lang w:eastAsia="sk-SK"/>
        </w:rPr>
        <w:t>v nasledujúcich prípadoch:</w:t>
      </w:r>
    </w:p>
    <w:p w:rsidR="00114E00" w:rsidRPr="005958FB" w:rsidRDefault="002B124F" w:rsidP="00D20327">
      <w:pPr>
        <w:numPr>
          <w:ilvl w:val="1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Pokiaľ oznámenie</w:t>
      </w:r>
      <w:r w:rsidR="00114E00"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smeruje priamo voči zodpovednej osobe.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2B124F" w:rsidRDefault="00114E00" w:rsidP="00D20327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Pokiaľ, vzhľado</w:t>
      </w:r>
      <w:r w:rsidR="002B124F">
        <w:rPr>
          <w:rFonts w:ascii="Times New Roman" w:eastAsia="Times New Roman" w:hAnsi="Times New Roman"/>
          <w:sz w:val="24"/>
          <w:szCs w:val="24"/>
          <w:lang w:eastAsia="sk-SK"/>
        </w:rPr>
        <w:t>m na skutočnosti uvádzané v oznámení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alebo okolnosti prípadu, možno mať pochybnosti o nezaujatosti zodpovednej osoby vzhľadom na pomer zodpovednej osoby k preverova</w:t>
      </w:r>
      <w:r w:rsidR="002B124F">
        <w:rPr>
          <w:rFonts w:ascii="Times New Roman" w:eastAsia="Times New Roman" w:hAnsi="Times New Roman"/>
          <w:sz w:val="24"/>
          <w:szCs w:val="24"/>
          <w:lang w:eastAsia="sk-SK"/>
        </w:rPr>
        <w:t>nej veci, k podávateľovi oznámenia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alebo k iným dotk</w:t>
      </w:r>
      <w:r w:rsidR="002B124F">
        <w:rPr>
          <w:rFonts w:ascii="Times New Roman" w:eastAsia="Times New Roman" w:hAnsi="Times New Roman"/>
          <w:sz w:val="24"/>
          <w:szCs w:val="24"/>
          <w:lang w:eastAsia="sk-SK"/>
        </w:rPr>
        <w:t>nutým stranám, ktorých sa oznámenie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tiež priamo alebo nepriamo dotýka.</w:t>
      </w:r>
      <w:r w:rsidR="002B124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2B124F" w:rsidRPr="005958FB" w:rsidRDefault="002B124F" w:rsidP="00D203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B124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 takom prípade štatutárny zástupca orgánu verejnej moci určí inú zodpovednú osobu na preverenie daného oznámenia.</w:t>
      </w:r>
    </w:p>
    <w:p w:rsidR="00114E00" w:rsidRPr="005958FB" w:rsidRDefault="00114E00" w:rsidP="00D2032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Podanie</w:t>
      </w:r>
      <w:r w:rsidR="002B124F">
        <w:rPr>
          <w:rFonts w:ascii="Times New Roman" w:eastAsia="Times New Roman" w:hAnsi="Times New Roman"/>
          <w:sz w:val="24"/>
          <w:szCs w:val="24"/>
          <w:lang w:eastAsia="sk-SK"/>
        </w:rPr>
        <w:t xml:space="preserve"> oznámenia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sa nesmie stať podnetom ani dôvodom na vyvodzovanie dôsledkov, ktoré by podávateľovi podnetu spôsobili akúkoľvek ujmu.</w:t>
      </w:r>
    </w:p>
    <w:p w:rsidR="00114E00" w:rsidRDefault="00114E00" w:rsidP="00D2032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Pokiaľ s</w:t>
      </w:r>
      <w:r w:rsidR="002B124F">
        <w:rPr>
          <w:rFonts w:ascii="Times New Roman" w:eastAsia="Times New Roman" w:hAnsi="Times New Roman"/>
          <w:sz w:val="24"/>
          <w:szCs w:val="24"/>
          <w:lang w:eastAsia="sk-SK"/>
        </w:rPr>
        <w:t>a v prípade preverovania oznámenia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preukáže, že došlo k spáchaniu trestného činu, zodpovedná osoba je túto skutočnosť povinná oznámiť orgánom činným v trestnom konaní. </w:t>
      </w:r>
    </w:p>
    <w:p w:rsidR="00D20327" w:rsidRDefault="00AD1715" w:rsidP="00AD1715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                                                     </w:t>
      </w:r>
      <w:r w:rsidR="00114E00" w:rsidRPr="005958F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Článok 5</w:t>
      </w:r>
    </w:p>
    <w:p w:rsidR="00AD1715" w:rsidRPr="00114E00" w:rsidRDefault="00AD1715" w:rsidP="00AD1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14E0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lastRenderedPageBreak/>
        <w:t>Zachovávanie mlčanlivosti o totožnosti oznamovateľa</w:t>
      </w:r>
    </w:p>
    <w:p w:rsidR="00AD1715" w:rsidRPr="00114E00" w:rsidRDefault="00AD1715" w:rsidP="00AD1715">
      <w:pPr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AD1715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(1)</w:t>
      </w: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Pri preverovaní oznámenia sa používa jeho odpis alebo, ak je to možné, jeho kópia, bez uvedenia údajov, ktoré by identifikovali oznamovateľa. Každý, komu je totožnosť oznamovateľa známa, je povinný o nej zachovať mlčanlivosť.</w:t>
      </w:r>
    </w:p>
    <w:p w:rsidR="00D20327" w:rsidRDefault="00AD1715" w:rsidP="00AF29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AD1715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(2)</w:t>
      </w: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Ak predmet oznámenia neumožňuje jeho prešetrenie bez uvedenia niektorého z údajov o osobe oznamovateľa, zodpovedná osoba o tom oznamovateľa bezodkladne upovedomí.</w:t>
      </w:r>
    </w:p>
    <w:p w:rsidR="00AD1715" w:rsidRPr="00114E00" w:rsidRDefault="00AD1715" w:rsidP="00AD1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14E0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Článok 6</w:t>
      </w:r>
    </w:p>
    <w:p w:rsidR="00AD1715" w:rsidRDefault="00AD1715" w:rsidP="00AD1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  <w:r w:rsidRPr="00114E0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Oboznamovanie oznamovateľa s výsledkom preverenia jeho oznámenia</w:t>
      </w:r>
    </w:p>
    <w:p w:rsidR="00AD1715" w:rsidRPr="00114E00" w:rsidRDefault="00AD1715" w:rsidP="005B6418">
      <w:pPr>
        <w:spacing w:after="0" w:line="12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</w:p>
    <w:p w:rsidR="00AD1715" w:rsidRPr="00114E00" w:rsidRDefault="00AD1715" w:rsidP="00AD1715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AD1715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(1)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Zodpovedná osoba preverovanie oznámenia odloží, ak:</w:t>
      </w:r>
    </w:p>
    <w:p w:rsidR="00AD1715" w:rsidRPr="00114E00" w:rsidRDefault="00AD1715" w:rsidP="00AD1715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- </w:t>
      </w: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ide o opakované oznámenie – oznámenie toho istého oznamovateľa podané opakovane v tej istej veci, ak v ňom oznamovateľ neuvádza nové skutočnosti,</w:t>
      </w:r>
    </w:p>
    <w:p w:rsidR="00AD1715" w:rsidRPr="00114E00" w:rsidRDefault="00AD1715" w:rsidP="00AD1715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- </w:t>
      </w: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oznamovateľ neposkytol zodpovednej osobe súčinnosť alebo ak súčinnosť neposkytol v lehote podľa článku 5 ods. 10 tohto predpisu a bez poskytnutia súčinnosti nie je možné oznámenie preveriť,</w:t>
      </w:r>
    </w:p>
    <w:p w:rsidR="00AD1715" w:rsidRPr="00114E00" w:rsidRDefault="00AD1715" w:rsidP="00AD1715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- </w:t>
      </w: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oznamovateľ zomrel a bez poskytnutia jeho súčinnosti nie je možné oznámenie preveriť,</w:t>
      </w:r>
    </w:p>
    <w:p w:rsidR="00AD1715" w:rsidRPr="00114E00" w:rsidRDefault="00AD1715" w:rsidP="00AD1715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- </w:t>
      </w: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došlo k skončeniu pracovnoprávneho vzťahu s oznamovateľom a bez poskytnutia jeho súčinnosti nie je možné oznámenie preveriť,</w:t>
      </w:r>
    </w:p>
    <w:p w:rsidR="00AD1715" w:rsidRPr="00114E00" w:rsidRDefault="00AD1715" w:rsidP="00AD1715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- </w:t>
      </w: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oznamovateľ vezme oznámenie späť a z iných okolností nič nenasvedčuje tomu, že by späť vzaté oznámenie mohlo nasvedčovať protispoločenské konanie.</w:t>
      </w:r>
    </w:p>
    <w:p w:rsidR="00AD1715" w:rsidRPr="00114E00" w:rsidRDefault="00AD1715" w:rsidP="00AD1715">
      <w:pPr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AD1715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(2)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O odložení oznámenia a dôvodoch jeho odloženia podľa písm. a), b) a e) ods. 1 tohto článku zodpovedná osoba písomne upovedomí oznamovateľa.</w:t>
      </w:r>
    </w:p>
    <w:p w:rsidR="00AD1715" w:rsidRPr="00114E00" w:rsidRDefault="00AD1715" w:rsidP="00AD1715">
      <w:pPr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AD1715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(3)</w:t>
      </w: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 xml:space="preserve">  </w:t>
      </w: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Výsledok preverenia oznámenia vo forme písomného záznamu je zodpovedná osoba povinná zaslať oznamovateľovi najneskôr do 10 dní od jeho preverenia (alebo odloženia).</w:t>
      </w:r>
    </w:p>
    <w:p w:rsidR="00AD1715" w:rsidRPr="00114E00" w:rsidRDefault="00AD1715" w:rsidP="00AD1715">
      <w:pPr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B77259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(4)</w:t>
      </w: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Pokiaľ výsledok preverenia oznámenia naznačuje, že došlo k spáchaniu trestného činu, zodpovedná osoba je túto skutočnosť povinná oznámiť orgánom činným v trestnom konaní a oznamovateľovi podľa ods. 3 tohto článku.</w:t>
      </w:r>
    </w:p>
    <w:p w:rsidR="00AD1715" w:rsidRDefault="00B77259" w:rsidP="00AD1715">
      <w:pPr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B77259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(5)</w:t>
      </w:r>
      <w:r w:rsidR="00AD1715" w:rsidRPr="00B77259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Pokiaľ výsledok preverenia oznámenia naznačuje, že došlo k spáchaniu správneho deliktu,</w:t>
      </w:r>
      <w:r w:rsidR="00AD1715"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zodpovedná osoba je túto skutočnosť povinná oznámiť orgánom činným v trestnom konaní a oznamovateľovi podľa ods. 3 tohto článku.</w:t>
      </w:r>
    </w:p>
    <w:p w:rsidR="00B77259" w:rsidRPr="00114E00" w:rsidRDefault="00B77259" w:rsidP="00AD1715">
      <w:pPr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</w:p>
    <w:p w:rsidR="00B77259" w:rsidRDefault="00B77259" w:rsidP="00B7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  <w:r w:rsidRPr="00114E0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Článok 7</w:t>
      </w:r>
    </w:p>
    <w:p w:rsidR="00B77259" w:rsidRPr="005958FB" w:rsidRDefault="00B77259" w:rsidP="00B772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                                                    </w:t>
      </w:r>
      <w:r w:rsidRPr="005958F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Evidovanie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oznámení</w:t>
      </w:r>
    </w:p>
    <w:p w:rsidR="00B77259" w:rsidRPr="005958FB" w:rsidRDefault="00B77259" w:rsidP="00B7725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Zodpovedná osoba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povinná viesť evidenciu oznámení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, v ktorej zaznamenáva nasledujúce údaje:</w:t>
      </w:r>
    </w:p>
    <w:p w:rsidR="00B77259" w:rsidRPr="005958FB" w:rsidRDefault="00B77259" w:rsidP="00B77259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dátum doručenia oznámenia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B77259" w:rsidRPr="005958FB" w:rsidRDefault="00B77259" w:rsidP="00B77259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meno, priezvisko a</w:t>
      </w:r>
      <w:r w:rsidR="00AF2907">
        <w:rPr>
          <w:rFonts w:ascii="Times New Roman" w:eastAsia="Times New Roman" w:hAnsi="Times New Roman"/>
          <w:sz w:val="24"/>
          <w:szCs w:val="24"/>
          <w:lang w:eastAsia="sk-SK"/>
        </w:rPr>
        <w:t xml:space="preserve"> adresa pobytu oznamovateľa,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 prípade anonymného oznámenia 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sa uvedie iba po</w:t>
      </w:r>
      <w:r w:rsidR="00AF2907">
        <w:rPr>
          <w:rFonts w:ascii="Times New Roman" w:eastAsia="Times New Roman" w:hAnsi="Times New Roman"/>
          <w:sz w:val="24"/>
          <w:szCs w:val="24"/>
          <w:lang w:eastAsia="sk-SK"/>
        </w:rPr>
        <w:t>známka, že ide o anonymné oznámenie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B77259" w:rsidRPr="005958FB" w:rsidRDefault="00B77259" w:rsidP="00B77259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predmet oznámenia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B77259" w:rsidRPr="005958FB" w:rsidRDefault="00B77259" w:rsidP="00B77259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výsledok preverenia oznámenia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B77259" w:rsidRPr="005958FB" w:rsidRDefault="00B77259" w:rsidP="00B77259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dá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tum skončenia preverenia oznámenia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B77259" w:rsidRPr="005958FB" w:rsidRDefault="00B77259" w:rsidP="0027706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Každé novoprijaté oznámenie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je zodpovedná osoba povinná bezodkladne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zaevidovať v evidencii oznámení pod číslom oznámenia, ktoré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pozostáva z poradového čísla jeho doručenia a roku doručenia.</w:t>
      </w:r>
    </w:p>
    <w:p w:rsidR="00277064" w:rsidRDefault="00B77259" w:rsidP="00277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  </w:t>
      </w:r>
      <w:r w:rsidR="0027706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(3) 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Zamestnávateľ je povinný údaje uvedené v odseku 1 uchovávať v evidencii podnetov </w:t>
      </w:r>
      <w:r w:rsidR="00277064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</w:p>
    <w:p w:rsidR="00B77259" w:rsidRPr="00277064" w:rsidRDefault="00277064" w:rsidP="0027706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  <w:r w:rsidR="00B77259" w:rsidRPr="005958FB">
        <w:rPr>
          <w:rFonts w:ascii="Times New Roman" w:eastAsia="Times New Roman" w:hAnsi="Times New Roman"/>
          <w:sz w:val="24"/>
          <w:szCs w:val="24"/>
          <w:lang w:eastAsia="sk-SK"/>
        </w:rPr>
        <w:t>tr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i roky odo dňa doručenia oznámenia</w:t>
      </w:r>
      <w:r w:rsidR="00B77259" w:rsidRPr="005958FB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277064" w:rsidRPr="00277064" w:rsidRDefault="00277064" w:rsidP="00277064">
      <w:pPr>
        <w:spacing w:after="0" w:line="240" w:lineRule="auto"/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sk-SK"/>
        </w:rPr>
      </w:pPr>
      <w:r w:rsidRPr="00277064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     </w:t>
      </w:r>
      <w:r w:rsidRPr="00277064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(4) </w:t>
      </w:r>
      <w:r w:rsidRPr="00277064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Zamestnávateľ, ktorý vedie </w:t>
      </w:r>
      <w:r w:rsidRPr="00277064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sk-SK"/>
        </w:rPr>
        <w:t xml:space="preserve">evidenciu zvukových záznamov hovorov  uchováva ich tri </w:t>
      </w:r>
    </w:p>
    <w:p w:rsidR="00277064" w:rsidRPr="00277064" w:rsidRDefault="00277064" w:rsidP="0027706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277064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           </w:t>
      </w:r>
      <w:r w:rsidRPr="00277064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sk-SK"/>
        </w:rPr>
        <w:t>roky od zaznamenania na elektronickom neprepisovateľnom nosiči.</w:t>
      </w:r>
    </w:p>
    <w:p w:rsidR="00277064" w:rsidRPr="00277064" w:rsidRDefault="00277064" w:rsidP="00277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2907" w:rsidRPr="00114E00" w:rsidRDefault="00AF2907" w:rsidP="00AF29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14E0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Článok 8</w:t>
      </w:r>
    </w:p>
    <w:p w:rsidR="00AF2907" w:rsidRDefault="00AF2907" w:rsidP="00AF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  <w:r w:rsidRPr="00114E0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Spracúvanie osobných údajov uvedených v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 </w:t>
      </w:r>
      <w:r w:rsidRPr="00114E0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oznámení</w:t>
      </w:r>
    </w:p>
    <w:p w:rsidR="00AF2907" w:rsidRDefault="00AF2907" w:rsidP="005B6418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</w:p>
    <w:p w:rsidR="00AF2907" w:rsidRDefault="00AF2907" w:rsidP="00AF2907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účely vedenia evidencie oznámení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je zamestnávateľ oprávnený spracúva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ť osobné údaje uvedené v oznámení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 v rozsahu:</w:t>
      </w:r>
    </w:p>
    <w:p w:rsidR="00AF2907" w:rsidRPr="00AF2907" w:rsidRDefault="00AF2907" w:rsidP="00AF2907">
      <w:pPr>
        <w:pStyle w:val="Odsekzoznamu"/>
        <w:numPr>
          <w:ilvl w:val="1"/>
          <w:numId w:val="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F2907">
        <w:rPr>
          <w:rFonts w:ascii="Times New Roman" w:eastAsia="Times New Roman" w:hAnsi="Times New Roman"/>
          <w:sz w:val="24"/>
          <w:szCs w:val="24"/>
          <w:lang w:eastAsia="sk-SK"/>
        </w:rPr>
        <w:t xml:space="preserve">titul, meno, priezvisko 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adresa pobytu oznamovateľa,</w:t>
      </w:r>
    </w:p>
    <w:p w:rsidR="00AF2907" w:rsidRDefault="00AF2907" w:rsidP="00AF2907">
      <w:pPr>
        <w:pStyle w:val="Odsekzoznamu"/>
        <w:numPr>
          <w:ilvl w:val="1"/>
          <w:numId w:val="7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AF2907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údaje o osobe/osobách, voči ktorým oznámenie smeruje,</w:t>
      </w:r>
    </w:p>
    <w:p w:rsidR="00AF2907" w:rsidRPr="00AF2907" w:rsidRDefault="00AF2907" w:rsidP="00AF2907">
      <w:pPr>
        <w:pStyle w:val="Odsekzoznamu"/>
        <w:numPr>
          <w:ilvl w:val="1"/>
          <w:numId w:val="7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AF2907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údaje osôb, ktoré boli prizvané na preverovanie oznámenia,</w:t>
      </w:r>
    </w:p>
    <w:p w:rsidR="00AF2907" w:rsidRPr="00AF2907" w:rsidRDefault="00AF2907" w:rsidP="00AF2907">
      <w:pPr>
        <w:pStyle w:val="Odsekzoznamu"/>
        <w:numPr>
          <w:ilvl w:val="1"/>
          <w:numId w:val="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údaje osôb, ktoré sa na preverovaní oznámenia zúčastnili (na preverení pracovali)</w:t>
      </w:r>
    </w:p>
    <w:p w:rsidR="00AF2907" w:rsidRPr="005958FB" w:rsidRDefault="00AF2907" w:rsidP="00AF290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Ďalej je zamestnávateľ oprávnený bez súhlasu dotknutej fyzickej osoby spracúvať osobnú údaje:</w:t>
      </w:r>
    </w:p>
    <w:p w:rsidR="00AF2907" w:rsidRPr="005958FB" w:rsidRDefault="00AF2907" w:rsidP="00AF2907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ktoré už boli zverejnené v súlade so zákonom a prevádzkovateľ ich náležite označil ako zverejnené,</w:t>
      </w:r>
    </w:p>
    <w:p w:rsidR="00AF2907" w:rsidRPr="005958FB" w:rsidRDefault="00AF2907" w:rsidP="00AF2907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ktorých spracúvanie je nevyhnutné na ochranu práv a právom chránených záujmov prevádzkovateľa alebo tretej strany, najmä osobné údaje spracúvané v rámci ochrany majetku, finančných alebo iných záujmov prevádzkovateľa a osobné údaje spracúvané na zabezpečenie bezpečnosti prevádzkovateľa prostredníctvom kamier alebo obdobných systémov; to však neplatí, ak pri takomto spracúvaní osobných údajov prevažujú základné práva a slobody dotknutej osoby, ktoré podliehajú ochrane podľa tohto zákona,</w:t>
      </w:r>
    </w:p>
    <w:p w:rsidR="00AF2907" w:rsidRPr="005958FB" w:rsidRDefault="00AF2907" w:rsidP="00AF2907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spracúvanie osobných údajov je nevyhnutné na splnenie dôležitej úlohy realizovanej vo verejnom záujme alebo</w:t>
      </w:r>
    </w:p>
    <w:p w:rsidR="00114E00" w:rsidRPr="00AF2907" w:rsidRDefault="00AF2907" w:rsidP="00AF2907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ide o osobitné kategórie osobných údajov, ktoré </w:t>
      </w:r>
      <w:r w:rsidRPr="005958FB">
        <w:rPr>
          <w:rFonts w:ascii="Times New Roman" w:hAnsi="Times New Roman"/>
          <w:sz w:val="24"/>
          <w:szCs w:val="24"/>
        </w:rPr>
        <w:t>dotknutá osoba sama zverejnila alebo sú nevyhnutné pri uplatňovaní jej právneho nároku.</w:t>
      </w:r>
    </w:p>
    <w:p w:rsidR="00114E00" w:rsidRPr="005958FB" w:rsidRDefault="00114E00" w:rsidP="00114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Článok </w:t>
      </w:r>
      <w:r w:rsidR="00AF290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9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5958F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Záverečné ustanovenia</w:t>
      </w:r>
    </w:p>
    <w:p w:rsidR="00114E00" w:rsidRPr="00844D55" w:rsidRDefault="00114E00" w:rsidP="00114E0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Tento </w:t>
      </w:r>
      <w:r w:rsidRPr="005B6418">
        <w:rPr>
          <w:rFonts w:ascii="Times New Roman" w:eastAsia="Times New Roman" w:hAnsi="Times New Roman"/>
          <w:b/>
          <w:sz w:val="24"/>
          <w:szCs w:val="24"/>
          <w:lang w:eastAsia="sk-SK"/>
        </w:rPr>
        <w:t>vnútorný predpis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B6418">
        <w:rPr>
          <w:rFonts w:ascii="Times New Roman" w:eastAsia="Times New Roman" w:hAnsi="Times New Roman"/>
          <w:b/>
          <w:sz w:val="24"/>
          <w:szCs w:val="24"/>
          <w:lang w:eastAsia="sk-SK"/>
        </w:rPr>
        <w:t>upravujúci podávanie, preverovanie a evidovanie oznámení</w:t>
      </w:r>
      <w:r w:rsidR="005B6418" w:rsidRPr="005958F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p</w:t>
      </w:r>
      <w:r w:rsidR="005B6418">
        <w:rPr>
          <w:rFonts w:ascii="Times New Roman" w:eastAsia="Times New Roman" w:hAnsi="Times New Roman"/>
          <w:b/>
          <w:sz w:val="24"/>
          <w:szCs w:val="24"/>
          <w:lang w:eastAsia="sk-SK"/>
        </w:rPr>
        <w:t>odávaných v zmysle zákona č. 54/2019</w:t>
      </w:r>
      <w:r w:rsidR="005B6418" w:rsidRPr="005958F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="005B6418" w:rsidRPr="005958FB">
        <w:rPr>
          <w:rFonts w:ascii="Times New Roman" w:eastAsia="Times New Roman" w:hAnsi="Times New Roman"/>
          <w:b/>
          <w:sz w:val="24"/>
          <w:szCs w:val="24"/>
          <w:lang w:eastAsia="sk-SK"/>
        </w:rPr>
        <w:t>Z.z</w:t>
      </w:r>
      <w:proofErr w:type="spellEnd"/>
      <w:r w:rsidR="005B6418" w:rsidRPr="005958FB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 w:rsidR="005B641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B6418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o ochrane </w:t>
      </w:r>
      <w:r w:rsidR="005B6418" w:rsidRPr="00114E0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oznamovateľov protispoločenskej činnosti a o zmene a doplnení niektorých zákonov</w:t>
      </w:r>
      <w:r w:rsidR="005B6418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,</w:t>
      </w:r>
      <w:r w:rsidR="005B6418" w:rsidRPr="00C1532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bol schválený na zasadnutí Obecného </w:t>
      </w:r>
      <w:r w:rsidRPr="00844D55">
        <w:rPr>
          <w:rFonts w:ascii="Times New Roman" w:eastAsia="Times New Roman" w:hAnsi="Times New Roman"/>
          <w:sz w:val="24"/>
          <w:szCs w:val="24"/>
          <w:lang w:eastAsia="sk-SK"/>
        </w:rPr>
        <w:t xml:space="preserve">zastupiteľstva v </w:t>
      </w:r>
      <w:r w:rsidR="006433A6">
        <w:rPr>
          <w:rFonts w:ascii="Times New Roman" w:eastAsia="Times New Roman" w:hAnsi="Times New Roman"/>
          <w:sz w:val="24"/>
          <w:szCs w:val="24"/>
          <w:lang w:eastAsia="sk-SK"/>
        </w:rPr>
        <w:t>Lupoči</w:t>
      </w:r>
      <w:r w:rsidRPr="00844D55">
        <w:rPr>
          <w:rFonts w:ascii="Times New Roman" w:eastAsia="Times New Roman" w:hAnsi="Times New Roman"/>
          <w:sz w:val="24"/>
          <w:szCs w:val="24"/>
          <w:lang w:eastAsia="sk-SK"/>
        </w:rPr>
        <w:t xml:space="preserve">, dňa </w:t>
      </w:r>
      <w:r w:rsidR="006433A6">
        <w:rPr>
          <w:rFonts w:ascii="Times New Roman" w:eastAsia="Times New Roman" w:hAnsi="Times New Roman"/>
          <w:sz w:val="24"/>
          <w:szCs w:val="24"/>
          <w:lang w:eastAsia="sk-SK"/>
        </w:rPr>
        <w:t>25.09.2019</w:t>
      </w:r>
      <w:r w:rsidRPr="00844D55">
        <w:rPr>
          <w:rFonts w:ascii="Times New Roman" w:eastAsia="Times New Roman" w:hAnsi="Times New Roman"/>
          <w:sz w:val="24"/>
          <w:szCs w:val="24"/>
          <w:lang w:eastAsia="sk-SK"/>
        </w:rPr>
        <w:t xml:space="preserve"> uznesením č. </w:t>
      </w:r>
      <w:r w:rsidR="005C0037">
        <w:rPr>
          <w:rFonts w:ascii="Times New Roman" w:eastAsia="Times New Roman" w:hAnsi="Times New Roman"/>
          <w:sz w:val="24"/>
          <w:szCs w:val="24"/>
          <w:lang w:eastAsia="sk-SK"/>
        </w:rPr>
        <w:t>78/2019.</w:t>
      </w:r>
    </w:p>
    <w:p w:rsidR="00114E00" w:rsidRDefault="00114E00" w:rsidP="00114E00">
      <w:pPr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 xml:space="preserve">Tento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vnútorný </w:t>
      </w:r>
      <w:r w:rsidRPr="005958FB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redpis na</w:t>
      </w:r>
      <w:r w:rsidR="005B6418">
        <w:rPr>
          <w:rFonts w:ascii="Times New Roman" w:eastAsia="Times New Roman" w:hAnsi="Times New Roman"/>
          <w:sz w:val="24"/>
          <w:szCs w:val="24"/>
          <w:lang w:eastAsia="sk-SK"/>
        </w:rPr>
        <w:t xml:space="preserve">dobúda účinnosť dňom </w:t>
      </w:r>
      <w:r w:rsidR="005C0037">
        <w:rPr>
          <w:rFonts w:ascii="Times New Roman" w:eastAsia="Times New Roman" w:hAnsi="Times New Roman"/>
          <w:sz w:val="24"/>
          <w:szCs w:val="24"/>
          <w:lang w:eastAsia="sk-SK"/>
        </w:rPr>
        <w:t>26.09.2019.</w:t>
      </w:r>
      <w:r w:rsidRPr="00844D55">
        <w:rPr>
          <w:rFonts w:ascii="Times New Roman" w:eastAsia="Times New Roman" w:hAnsi="Times New Roman"/>
          <w:sz w:val="24"/>
          <w:szCs w:val="24"/>
          <w:lang w:eastAsia="sk-SK"/>
        </w:rPr>
        <w:br/>
      </w:r>
    </w:p>
    <w:p w:rsidR="005C0037" w:rsidRDefault="005C0037" w:rsidP="005C0037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114E00" w:rsidRDefault="00114E00" w:rsidP="00114E00">
      <w:pPr>
        <w:spacing w:before="100" w:beforeAutospacing="1" w:after="100" w:afterAutospacing="1" w:line="12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r w:rsidRPr="00844D5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</w:t>
      </w:r>
      <w:r w:rsidR="006433A6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     </w:t>
      </w:r>
    </w:p>
    <w:p w:rsidR="00114E00" w:rsidRDefault="00114E00" w:rsidP="00C156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</w:t>
      </w:r>
      <w:r w:rsidR="006433A6">
        <w:rPr>
          <w:rFonts w:ascii="Times New Roman" w:eastAsia="Times New Roman" w:hAnsi="Times New Roman"/>
          <w:sz w:val="24"/>
          <w:szCs w:val="24"/>
          <w:lang w:eastAsia="sk-SK"/>
        </w:rPr>
        <w:t xml:space="preserve">Ing. Peter </w:t>
      </w:r>
      <w:proofErr w:type="spellStart"/>
      <w:r w:rsidR="006433A6">
        <w:rPr>
          <w:rFonts w:ascii="Times New Roman" w:eastAsia="Times New Roman" w:hAnsi="Times New Roman"/>
          <w:sz w:val="24"/>
          <w:szCs w:val="24"/>
          <w:lang w:eastAsia="sk-SK"/>
        </w:rPr>
        <w:t>Tejiščák</w:t>
      </w:r>
      <w:proofErr w:type="spellEnd"/>
    </w:p>
    <w:p w:rsidR="006433A6" w:rsidRPr="00C156DA" w:rsidRDefault="006433A6" w:rsidP="00C156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starosta obce</w:t>
      </w:r>
    </w:p>
    <w:sectPr w:rsidR="006433A6" w:rsidRPr="00C156DA" w:rsidSect="009B5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D3" w:rsidRDefault="002D7AD3" w:rsidP="005C0037">
      <w:pPr>
        <w:spacing w:after="0" w:line="240" w:lineRule="auto"/>
      </w:pPr>
      <w:r>
        <w:separator/>
      </w:r>
    </w:p>
  </w:endnote>
  <w:endnote w:type="continuationSeparator" w:id="0">
    <w:p w:rsidR="002D7AD3" w:rsidRDefault="002D7AD3" w:rsidP="005C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D3" w:rsidRDefault="002D7AD3" w:rsidP="005C0037">
      <w:pPr>
        <w:spacing w:after="0" w:line="240" w:lineRule="auto"/>
      </w:pPr>
      <w:r>
        <w:separator/>
      </w:r>
    </w:p>
  </w:footnote>
  <w:footnote w:type="continuationSeparator" w:id="0">
    <w:p w:rsidR="002D7AD3" w:rsidRDefault="002D7AD3" w:rsidP="005C0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5CC"/>
    <w:multiLevelType w:val="hybridMultilevel"/>
    <w:tmpl w:val="7E388F62"/>
    <w:lvl w:ilvl="0" w:tplc="0F8E28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B3E"/>
    <w:multiLevelType w:val="multilevel"/>
    <w:tmpl w:val="E762424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E4320"/>
    <w:multiLevelType w:val="multilevel"/>
    <w:tmpl w:val="CABC4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56683"/>
    <w:multiLevelType w:val="multilevel"/>
    <w:tmpl w:val="06147F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441B7"/>
    <w:multiLevelType w:val="multilevel"/>
    <w:tmpl w:val="7708CD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6323C6"/>
    <w:multiLevelType w:val="hybridMultilevel"/>
    <w:tmpl w:val="C88A02E0"/>
    <w:lvl w:ilvl="0" w:tplc="EF02A4F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95A0D"/>
    <w:multiLevelType w:val="multilevel"/>
    <w:tmpl w:val="B25AA6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B159D"/>
    <w:multiLevelType w:val="hybridMultilevel"/>
    <w:tmpl w:val="89F282D0"/>
    <w:lvl w:ilvl="0" w:tplc="AD1A556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2317E"/>
    <w:multiLevelType w:val="multilevel"/>
    <w:tmpl w:val="F3386E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61ED9"/>
    <w:multiLevelType w:val="multilevel"/>
    <w:tmpl w:val="3620B8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5E3542"/>
    <w:multiLevelType w:val="hybridMultilevel"/>
    <w:tmpl w:val="0BB2EABE"/>
    <w:lvl w:ilvl="0" w:tplc="1FDE074C">
      <w:start w:val="1"/>
      <w:numFmt w:val="decimal"/>
      <w:lvlText w:val="(%1)"/>
      <w:lvlJc w:val="left"/>
      <w:pPr>
        <w:ind w:left="461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52466"/>
    <w:multiLevelType w:val="multilevel"/>
    <w:tmpl w:val="2E9676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155CBA"/>
    <w:multiLevelType w:val="hybridMultilevel"/>
    <w:tmpl w:val="3DA2F174"/>
    <w:lvl w:ilvl="0" w:tplc="811A5A90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99345CA"/>
    <w:multiLevelType w:val="hybridMultilevel"/>
    <w:tmpl w:val="EB56C4F2"/>
    <w:lvl w:ilvl="0" w:tplc="80AA6CE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00"/>
    <w:rsid w:val="0004204D"/>
    <w:rsid w:val="00114E00"/>
    <w:rsid w:val="00160DCA"/>
    <w:rsid w:val="00227271"/>
    <w:rsid w:val="00227ACC"/>
    <w:rsid w:val="00233FD2"/>
    <w:rsid w:val="00245B83"/>
    <w:rsid w:val="00274DE2"/>
    <w:rsid w:val="0027514C"/>
    <w:rsid w:val="00277064"/>
    <w:rsid w:val="002B124F"/>
    <w:rsid w:val="002D7AD3"/>
    <w:rsid w:val="00373C47"/>
    <w:rsid w:val="00401584"/>
    <w:rsid w:val="00495159"/>
    <w:rsid w:val="005A4211"/>
    <w:rsid w:val="005B6418"/>
    <w:rsid w:val="005C0037"/>
    <w:rsid w:val="00617148"/>
    <w:rsid w:val="00622B77"/>
    <w:rsid w:val="006433A6"/>
    <w:rsid w:val="006A4E8D"/>
    <w:rsid w:val="006C450D"/>
    <w:rsid w:val="00777B8C"/>
    <w:rsid w:val="007C149C"/>
    <w:rsid w:val="00885C4E"/>
    <w:rsid w:val="00890DD9"/>
    <w:rsid w:val="00964E61"/>
    <w:rsid w:val="00AD03E1"/>
    <w:rsid w:val="00AD1715"/>
    <w:rsid w:val="00AF2907"/>
    <w:rsid w:val="00B2096F"/>
    <w:rsid w:val="00B77259"/>
    <w:rsid w:val="00C156DA"/>
    <w:rsid w:val="00C57171"/>
    <w:rsid w:val="00CD4190"/>
    <w:rsid w:val="00D20327"/>
    <w:rsid w:val="00D444EB"/>
    <w:rsid w:val="00D75A2C"/>
    <w:rsid w:val="00F1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94D1C-208B-4822-9232-E903D47B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E00"/>
    <w:pPr>
      <w:spacing w:after="160" w:line="259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22B7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B12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3A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C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037"/>
  </w:style>
  <w:style w:type="paragraph" w:styleId="Pta">
    <w:name w:val="footer"/>
    <w:basedOn w:val="Normlny"/>
    <w:link w:val="PtaChar"/>
    <w:uiPriority w:val="99"/>
    <w:unhideWhenUsed/>
    <w:rsid w:val="005C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837">
          <w:marLeft w:val="155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48">
              <w:marLeft w:val="155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039">
                  <w:marLeft w:val="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0046">
                  <w:marLeft w:val="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370">
                  <w:marLeft w:val="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2917">
                  <w:marLeft w:val="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2650">
                  <w:marLeft w:val="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4749">
                  <w:marLeft w:val="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.sk/Main/Default.aspx?Template=%7E/Main/TArticles.ascx&amp;zzsrlnkid=19647913&amp;phContent=%7E/ZzSR/ShowRule.ascx&amp;RuleId=0&amp;FragmentId1=4779139&amp;FragmentId2=47791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pi.sk/Main/Default.aspx?Template=%7E/Main/TArticles.ascx&amp;zzsrlnkid=19647913&amp;phContent=%7E/ZzSR/ShowRule.ascx&amp;RuleId=0&amp;FragmentId1=4779180&amp;FragmentId2=477919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Gombala</dc:creator>
  <cp:lastModifiedBy>DOLNÁKOVÁ Jana</cp:lastModifiedBy>
  <cp:revision>5</cp:revision>
  <cp:lastPrinted>2019-09-27T05:36:00Z</cp:lastPrinted>
  <dcterms:created xsi:type="dcterms:W3CDTF">2019-09-23T07:54:00Z</dcterms:created>
  <dcterms:modified xsi:type="dcterms:W3CDTF">2019-09-27T05:40:00Z</dcterms:modified>
</cp:coreProperties>
</file>